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45F7" w14:textId="77777777" w:rsidR="00412824" w:rsidRDefault="00C35522" w:rsidP="0041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434343"/>
          <w:kern w:val="0"/>
          <w:sz w:val="44"/>
          <w:szCs w:val="44"/>
          <w:lang w:eastAsia="cs-CZ"/>
          <w14:ligatures w14:val="none"/>
        </w:rPr>
      </w:pPr>
      <w:r w:rsidRPr="00C35522">
        <w:rPr>
          <w:rFonts w:eastAsia="Times New Roman"/>
          <w:b/>
          <w:bCs/>
          <w:caps/>
          <w:color w:val="434343"/>
          <w:kern w:val="0"/>
          <w:sz w:val="44"/>
          <w:szCs w:val="44"/>
          <w:lang w:eastAsia="cs-CZ"/>
          <w14:ligatures w14:val="none"/>
        </w:rPr>
        <w:t xml:space="preserve">Ochrana </w:t>
      </w:r>
      <w:r w:rsidR="008B3D43" w:rsidRPr="008B3D43">
        <w:rPr>
          <w:rFonts w:eastAsia="Times New Roman"/>
          <w:b/>
          <w:bCs/>
          <w:caps/>
          <w:color w:val="434343"/>
          <w:kern w:val="0"/>
          <w:sz w:val="44"/>
          <w:szCs w:val="44"/>
          <w:lang w:eastAsia="cs-CZ"/>
          <w14:ligatures w14:val="none"/>
        </w:rPr>
        <w:t>oznamovatelů</w:t>
      </w:r>
      <w:r w:rsidRPr="00C35522">
        <w:rPr>
          <w:rFonts w:eastAsia="Times New Roman"/>
          <w:b/>
          <w:bCs/>
          <w:color w:val="434343"/>
          <w:kern w:val="0"/>
          <w:sz w:val="44"/>
          <w:szCs w:val="44"/>
          <w:lang w:eastAsia="cs-CZ"/>
          <w14:ligatures w14:val="none"/>
        </w:rPr>
        <w:t xml:space="preserve">  </w:t>
      </w:r>
    </w:p>
    <w:p w14:paraId="385DC99D" w14:textId="531F8D29" w:rsidR="00C35522" w:rsidRPr="00C35522" w:rsidRDefault="00C35522" w:rsidP="0041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434343"/>
          <w:kern w:val="0"/>
          <w:sz w:val="44"/>
          <w:szCs w:val="44"/>
          <w:lang w:eastAsia="cs-CZ"/>
          <w14:ligatures w14:val="none"/>
        </w:rPr>
      </w:pPr>
      <w:r w:rsidRPr="00C35522">
        <w:rPr>
          <w:rFonts w:eastAsia="Times New Roman"/>
          <w:b/>
          <w:bCs/>
          <w:color w:val="434343"/>
          <w:kern w:val="0"/>
          <w:sz w:val="32"/>
          <w:szCs w:val="32"/>
          <w:lang w:eastAsia="cs-CZ"/>
          <w14:ligatures w14:val="none"/>
        </w:rPr>
        <w:t>oznamují</w:t>
      </w:r>
      <w:r w:rsidR="00D76076" w:rsidRPr="00412824">
        <w:rPr>
          <w:rFonts w:eastAsia="Times New Roman"/>
          <w:b/>
          <w:bCs/>
          <w:color w:val="434343"/>
          <w:kern w:val="0"/>
          <w:sz w:val="32"/>
          <w:szCs w:val="32"/>
          <w:lang w:eastAsia="cs-CZ"/>
          <w14:ligatures w14:val="none"/>
        </w:rPr>
        <w:t>cích protiprávní jednání a</w:t>
      </w:r>
      <w:r w:rsidRPr="00C35522">
        <w:rPr>
          <w:rFonts w:eastAsia="Times New Roman"/>
          <w:b/>
          <w:bCs/>
          <w:color w:val="434343"/>
          <w:kern w:val="0"/>
          <w:sz w:val="32"/>
          <w:szCs w:val="32"/>
          <w:lang w:eastAsia="cs-CZ"/>
          <w14:ligatures w14:val="none"/>
        </w:rPr>
        <w:t xml:space="preserve"> porušení práva</w:t>
      </w:r>
      <w:r w:rsidR="00D76076" w:rsidRPr="00412824">
        <w:rPr>
          <w:rFonts w:eastAsia="Times New Roman"/>
          <w:b/>
          <w:bCs/>
          <w:color w:val="434343"/>
          <w:kern w:val="0"/>
          <w:sz w:val="32"/>
          <w:szCs w:val="32"/>
          <w:lang w:eastAsia="cs-CZ"/>
          <w14:ligatures w14:val="none"/>
        </w:rPr>
        <w:t xml:space="preserve"> EU</w:t>
      </w:r>
      <w:r w:rsidRPr="00C35522">
        <w:rPr>
          <w:rFonts w:eastAsia="Times New Roman"/>
          <w:b/>
          <w:bCs/>
          <w:color w:val="434343"/>
          <w:kern w:val="0"/>
          <w:sz w:val="32"/>
          <w:szCs w:val="32"/>
          <w:lang w:eastAsia="cs-CZ"/>
          <w14:ligatures w14:val="none"/>
        </w:rPr>
        <w:t xml:space="preserve"> </w:t>
      </w:r>
      <w:r w:rsidRPr="00C35522">
        <w:rPr>
          <w:rFonts w:eastAsia="Times New Roman"/>
          <w:b/>
          <w:bCs/>
          <w:color w:val="434343"/>
          <w:kern w:val="0"/>
          <w:sz w:val="44"/>
          <w:szCs w:val="44"/>
          <w:lang w:eastAsia="cs-CZ"/>
          <w14:ligatures w14:val="none"/>
        </w:rPr>
        <w:t>(</w:t>
      </w:r>
      <w:r w:rsidRPr="00C35522">
        <w:rPr>
          <w:rFonts w:eastAsia="Times New Roman"/>
          <w:b/>
          <w:bCs/>
          <w:caps/>
          <w:color w:val="434343"/>
          <w:kern w:val="0"/>
          <w:sz w:val="44"/>
          <w:szCs w:val="44"/>
          <w:lang w:eastAsia="cs-CZ"/>
          <w14:ligatures w14:val="none"/>
        </w:rPr>
        <w:t>whistleblowing</w:t>
      </w:r>
      <w:r w:rsidRPr="00C35522">
        <w:rPr>
          <w:rFonts w:eastAsia="Times New Roman"/>
          <w:b/>
          <w:bCs/>
          <w:color w:val="434343"/>
          <w:kern w:val="0"/>
          <w:sz w:val="44"/>
          <w:szCs w:val="44"/>
          <w:lang w:eastAsia="cs-CZ"/>
          <w14:ligatures w14:val="none"/>
        </w:rPr>
        <w:t>)</w:t>
      </w:r>
    </w:p>
    <w:p w14:paraId="071E70E8" w14:textId="77777777" w:rsidR="00D76076" w:rsidRDefault="00D76076" w:rsidP="0041282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</w:p>
    <w:p w14:paraId="010C692D" w14:textId="66CB57D0" w:rsidR="00C35522" w:rsidRPr="00C35522" w:rsidRDefault="00D76076" w:rsidP="00C35522">
      <w:pPr>
        <w:shd w:val="clear" w:color="auto" w:fill="FFFFFF"/>
        <w:spacing w:before="120" w:after="480" w:line="240" w:lineRule="auto"/>
        <w:jc w:val="both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Účelem </w:t>
      </w:r>
      <w:r w:rsidR="00C35522"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Směrnice Evropského parlamentu a Rady (EU) 2019/1937 ze dne 23. října 2019 o ochraně osob, které oznamují porušení práva Unie</w:t>
      </w:r>
      <w:r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a zákona č. 171/2023 Sb., o ochraně oznamovatelů</w:t>
      </w:r>
      <w:r w:rsidR="000B76D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( dále jen „Zákon“) </w:t>
      </w:r>
      <w:r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oznamující jednání</w:t>
      </w:r>
      <w:r w:rsidR="00C35522"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, které nese znaky trestného činu nebo přestupku a oznamovatel se o něm dozvěděl v souvislosti s prací nebo jinou obdobnou činností je </w:t>
      </w:r>
      <w:r w:rsidR="0017505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zákonná povinnost</w:t>
      </w:r>
      <w:r w:rsidR="00C35522"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chránit oznamovatele</w:t>
      </w:r>
      <w:r w:rsidR="0017505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a ostatní osoby v zákoně uvedené</w:t>
      </w:r>
      <w:r w:rsidR="00C35522"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před odvetnými opatřeními ze strany</w:t>
      </w:r>
      <w:r w:rsidR="0017505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tzv. povinných</w:t>
      </w:r>
      <w:r w:rsidR="00C35522"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  <w:r w:rsidR="0017505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osob ( právnických nebo fyzických) vůči kterým toto oznámení směřuje</w:t>
      </w:r>
      <w:r w:rsidR="00C35522"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. Z tohoto důvodu při oznámení prostřednictvím vnitřního </w:t>
      </w:r>
      <w:r w:rsidR="0017505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oznamovacího systému a při činnosti tzv. příslušné osoby</w:t>
      </w:r>
      <w:r w:rsidR="00C35522"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  <w:r w:rsidR="0017505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oprávněné prošetřovat oznámení musí být</w:t>
      </w:r>
      <w:r w:rsidR="00C35522"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utajena totožnost oznamovatele, kterou bude znát jen příslušná osoba a tato je povinna zachovávat </w:t>
      </w:r>
      <w:r w:rsidR="00BE19A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pod sankcí </w:t>
      </w:r>
      <w:r w:rsidR="00C35522"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mlčenlivost.</w:t>
      </w:r>
    </w:p>
    <w:p w14:paraId="542B8E5B" w14:textId="77777777" w:rsidR="00C35522" w:rsidRPr="00C35522" w:rsidRDefault="00C35522" w:rsidP="00C35522">
      <w:pPr>
        <w:shd w:val="clear" w:color="auto" w:fill="FFFFFF"/>
        <w:spacing w:before="300" w:after="150" w:line="311" w:lineRule="atLeast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  <w:r w:rsidRPr="00C35522">
        <w:rPr>
          <w:rFonts w:eastAsia="Times New Roman"/>
          <w:b/>
          <w:bCs/>
          <w:color w:val="434343"/>
          <w:kern w:val="0"/>
          <w:sz w:val="26"/>
          <w:szCs w:val="26"/>
          <w:lang w:eastAsia="cs-CZ"/>
          <w14:ligatures w14:val="none"/>
        </w:rPr>
        <w:t>Kdo může oznámit</w:t>
      </w:r>
    </w:p>
    <w:p w14:paraId="177F39D2" w14:textId="4BA7B1FF" w:rsidR="00BE19AC" w:rsidRPr="00BE19AC" w:rsidRDefault="00BE19AC" w:rsidP="00BE19AC">
      <w:pPr>
        <w:shd w:val="clear" w:color="auto" w:fill="FFFFFF"/>
        <w:spacing w:before="300" w:after="15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BE19A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Oznamovatelem je fyzická osoba</w:t>
      </w:r>
      <w:r w:rsidR="000B76D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,</w:t>
      </w:r>
      <w:r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která v rámci interního oznamovacího systému je</w:t>
      </w:r>
      <w:r w:rsidR="002E56EA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podle Zákona</w:t>
      </w:r>
      <w:r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povinna uvést své jméno, příjmení a datum narození </w:t>
      </w:r>
      <w:r w:rsidR="00A529EA" w:rsidRPr="00A529EA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nebo jiné údaje, z nichž je možné dovodit totožnost oznamovatele</w:t>
      </w:r>
      <w:r w:rsidR="00A529EA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. </w:t>
      </w:r>
      <w:r w:rsidR="00A529EA" w:rsidRPr="00A529EA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Oznámení nemusí obsahovat údaje podle věty první, pokud bylo podáno osobou, jejíž totožnost je příslušné osobě</w:t>
      </w:r>
      <w:r w:rsidR="00C82FEF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.</w:t>
      </w:r>
    </w:p>
    <w:p w14:paraId="13C00D5D" w14:textId="19D27BE4" w:rsidR="00C35522" w:rsidRPr="00C35522" w:rsidRDefault="00C35522" w:rsidP="00C35522">
      <w:pPr>
        <w:shd w:val="clear" w:color="auto" w:fill="FFFFFF"/>
        <w:spacing w:before="300" w:after="150" w:line="311" w:lineRule="atLeast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  <w:r w:rsidRPr="00C35522">
        <w:rPr>
          <w:rFonts w:eastAsia="Times New Roman"/>
          <w:b/>
          <w:bCs/>
          <w:color w:val="434343"/>
          <w:kern w:val="0"/>
          <w:sz w:val="26"/>
          <w:szCs w:val="26"/>
          <w:lang w:eastAsia="cs-CZ"/>
          <w14:ligatures w14:val="none"/>
        </w:rPr>
        <w:t>Co může</w:t>
      </w:r>
      <w:r w:rsidR="00C82FEF">
        <w:rPr>
          <w:rFonts w:eastAsia="Times New Roman"/>
          <w:b/>
          <w:bCs/>
          <w:color w:val="434343"/>
          <w:kern w:val="0"/>
          <w:sz w:val="26"/>
          <w:szCs w:val="26"/>
          <w:lang w:eastAsia="cs-CZ"/>
          <w14:ligatures w14:val="none"/>
        </w:rPr>
        <w:t>te</w:t>
      </w:r>
      <w:r w:rsidRPr="00C35522">
        <w:rPr>
          <w:rFonts w:eastAsia="Times New Roman"/>
          <w:b/>
          <w:bCs/>
          <w:color w:val="434343"/>
          <w:kern w:val="0"/>
          <w:sz w:val="26"/>
          <w:szCs w:val="26"/>
          <w:lang w:eastAsia="cs-CZ"/>
          <w14:ligatures w14:val="none"/>
        </w:rPr>
        <w:t xml:space="preserve"> oznámit</w:t>
      </w:r>
    </w:p>
    <w:p w14:paraId="213F246A" w14:textId="77777777" w:rsidR="009C09A1" w:rsidRDefault="00A529EA" w:rsidP="009C09A1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A529EA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Oznámení obsahuje informace o možném protiprávním jednání, k němuž došlo nebo má dojít u osoby, pro niž oznamovatel, byť zprostředkovaně, vykonával nebo vykonává práci nebo jinou obdobnou činnost, nebo u osoby, se kterou oznamovatel byl nebo je v kontaktu v souvislosti s výkonem práce nebo jiné obdobné činnosti</w:t>
      </w:r>
      <w:r w:rsidR="009C09A1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, a které:</w:t>
      </w:r>
    </w:p>
    <w:p w14:paraId="2E3E78D0" w14:textId="19746479" w:rsidR="00B44903" w:rsidRDefault="009C09A1" w:rsidP="009C09A1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</w:p>
    <w:p w14:paraId="00E4F9BE" w14:textId="04DD86BA" w:rsidR="009C09A1" w:rsidRDefault="009C09A1" w:rsidP="009C09A1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9C09A1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má znaky trestného činu,</w:t>
      </w:r>
    </w:p>
    <w:p w14:paraId="3F11C7EA" w14:textId="77777777" w:rsidR="009C09A1" w:rsidRDefault="009C09A1" w:rsidP="009C09A1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</w:p>
    <w:p w14:paraId="769AD357" w14:textId="1F9B2DDD" w:rsidR="009C09A1" w:rsidRDefault="009C09A1" w:rsidP="009C09A1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m</w:t>
      </w:r>
      <w:r w:rsidRPr="009C09A1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á znaky přestupku, za který zákon stanoví sazbu pokuty, jejíž horní hranice je alespoň 100000 Kč,</w:t>
      </w:r>
    </w:p>
    <w:p w14:paraId="7B602CE7" w14:textId="77777777" w:rsidR="00BA666C" w:rsidRPr="00BA666C" w:rsidRDefault="00BA666C" w:rsidP="00BA666C">
      <w:pPr>
        <w:pStyle w:val="Odstavecseseznamem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</w:p>
    <w:p w14:paraId="7F5C2F0A" w14:textId="19F901AE" w:rsidR="009C09A1" w:rsidRDefault="009C09A1" w:rsidP="009C09A1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porušuje </w:t>
      </w:r>
      <w:r w:rsid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Z</w:t>
      </w:r>
      <w:r w:rsidRP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ákon, nebo</w:t>
      </w:r>
    </w:p>
    <w:p w14:paraId="23D0C340" w14:textId="77777777" w:rsidR="00BA666C" w:rsidRPr="00BA666C" w:rsidRDefault="00BA666C" w:rsidP="00BA666C">
      <w:pPr>
        <w:pStyle w:val="Odstavecseseznamem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</w:p>
    <w:p w14:paraId="0AE418F5" w14:textId="3D64FA88" w:rsidR="009C09A1" w:rsidRDefault="009C09A1" w:rsidP="009C09A1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porušuje jiný právní předpis nebo předpis Evropské unie v</w:t>
      </w:r>
      <w:r w:rsid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 </w:t>
      </w:r>
      <w:proofErr w:type="gramStart"/>
      <w:r w:rsidRP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oblasti</w:t>
      </w:r>
      <w:r w:rsid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:</w:t>
      </w:r>
      <w:proofErr w:type="gramEnd"/>
    </w:p>
    <w:p w14:paraId="2EBEC92F" w14:textId="77777777" w:rsidR="00412824" w:rsidRPr="00412824" w:rsidRDefault="00412824" w:rsidP="00412824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</w:p>
    <w:p w14:paraId="2D866FE2" w14:textId="250B639C" w:rsidR="009C09A1" w:rsidRDefault="009C09A1" w:rsidP="00BA66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finančních služeb, povinného auditu a jiných ověřovacích služeb, finančních produktů a finančních trhů,</w:t>
      </w:r>
    </w:p>
    <w:p w14:paraId="35BD404C" w14:textId="47E57EAB" w:rsidR="009C09A1" w:rsidRDefault="009C09A1" w:rsidP="00BA66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daně z příjmů právnických osob,</w:t>
      </w:r>
    </w:p>
    <w:p w14:paraId="3655B080" w14:textId="76B6DE8E" w:rsidR="009C09A1" w:rsidRDefault="009C09A1" w:rsidP="00BA66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předcházení legalizaci výnosů z trestné činnosti a financování terorismu,</w:t>
      </w:r>
    </w:p>
    <w:p w14:paraId="7368F02C" w14:textId="0C96C0C1" w:rsidR="009C09A1" w:rsidRDefault="009C09A1" w:rsidP="00BA66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ochrany spotřebitele,</w:t>
      </w:r>
    </w:p>
    <w:p w14:paraId="7CF2923D" w14:textId="4DBF4DB9" w:rsidR="009C09A1" w:rsidRDefault="009C09A1" w:rsidP="00BA66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souladu s požadavky na výrobky včetně jejich bezpečnosti,</w:t>
      </w:r>
    </w:p>
    <w:p w14:paraId="57807131" w14:textId="6D7ED5AF" w:rsidR="009C09A1" w:rsidRDefault="009C09A1" w:rsidP="00BA66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bezpečnosti dopravy, přepravy a provozu na pozemních komunikacích,</w:t>
      </w:r>
    </w:p>
    <w:p w14:paraId="49207E88" w14:textId="577F1A67" w:rsidR="009C09A1" w:rsidRDefault="009C09A1" w:rsidP="00BA66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ochrany životního prostředí,</w:t>
      </w:r>
    </w:p>
    <w:p w14:paraId="4CB333BC" w14:textId="5AD306C2" w:rsidR="009C09A1" w:rsidRDefault="009C09A1" w:rsidP="00BA66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bezpečnosti potravin a krmiv a ochrany zvířat a jejich zdraví,</w:t>
      </w:r>
    </w:p>
    <w:p w14:paraId="20C759F1" w14:textId="0E1B9778" w:rsidR="009C09A1" w:rsidRDefault="009C09A1" w:rsidP="00BA66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radiační ochrany a jaderné bezpečnosti,</w:t>
      </w:r>
    </w:p>
    <w:p w14:paraId="0F483B55" w14:textId="5A068646" w:rsidR="009C09A1" w:rsidRDefault="009C09A1" w:rsidP="00BA66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hospodářské soutěže, veřejných dražeb a zadávání veřejných zakázek,</w:t>
      </w:r>
    </w:p>
    <w:p w14:paraId="1470DE63" w14:textId="0514E8D6" w:rsidR="009C09A1" w:rsidRDefault="009C09A1" w:rsidP="00BA66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ochrany vnitřního pořádku a bezpečnosti, života a zdraví,</w:t>
      </w:r>
    </w:p>
    <w:p w14:paraId="0C971820" w14:textId="613B7834" w:rsidR="009C09A1" w:rsidRDefault="009C09A1" w:rsidP="00BA66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BA666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ochrany osobních údajů, soukromí a bezpečnosti sítí elektronických komunikací a informačních systémů,</w:t>
      </w:r>
    </w:p>
    <w:p w14:paraId="5E8EC9E9" w14:textId="227F6536" w:rsidR="009C09A1" w:rsidRDefault="009C09A1" w:rsidP="00A44E8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A44E83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lastRenderedPageBreak/>
        <w:t>ochrany finančních zájmů Evropské unie</w:t>
      </w:r>
      <w:r w:rsidR="00A44E83">
        <w:rPr>
          <w:rStyle w:val="Znakapoznpodarou"/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footnoteReference w:id="1"/>
      </w:r>
      <w:r w:rsidRPr="00A44E83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, nebo</w:t>
      </w:r>
    </w:p>
    <w:p w14:paraId="5AA6370C" w14:textId="10CC5A2E" w:rsidR="009C09A1" w:rsidRPr="00A44E83" w:rsidRDefault="009C09A1" w:rsidP="00A44E8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A44E83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fungování vnitřního trhu</w:t>
      </w:r>
      <w:r w:rsidR="00A44E83">
        <w:rPr>
          <w:rStyle w:val="Znakapoznpodarou"/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footnoteReference w:id="2"/>
      </w:r>
      <w:r w:rsidRPr="00A44E83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včetně ochrany hospodářské soutěže a státní podpory podle práva Evropské unie.</w:t>
      </w:r>
    </w:p>
    <w:p w14:paraId="23ED969F" w14:textId="56B76C26" w:rsidR="009C09A1" w:rsidRPr="00C35522" w:rsidRDefault="00012C68" w:rsidP="00012C68">
      <w:pPr>
        <w:shd w:val="clear" w:color="auto" w:fill="FFFFFF"/>
        <w:spacing w:before="300" w:after="150" w:line="240" w:lineRule="auto"/>
        <w:jc w:val="both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012C68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Základní škola, Praktická škola a Mateřská škola, Česká Lípa, Moskevská 679, příspěvková organizace</w:t>
      </w:r>
      <w:r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  <w:r w:rsidR="00C82FEF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jako povinný </w:t>
      </w:r>
      <w:proofErr w:type="gramStart"/>
      <w:r w:rsidR="00C82FEF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subjekt</w:t>
      </w:r>
      <w:r w:rsidR="00C82FEF" w:rsidRPr="00C82FEF">
        <w:t xml:space="preserve"> </w:t>
      </w:r>
      <w:r w:rsidR="00C82FEF" w:rsidRPr="00C82FEF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  <w:r w:rsidR="00C82FEF" w:rsidRPr="00726AF0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>vylučuje</w:t>
      </w:r>
      <w:proofErr w:type="gramEnd"/>
      <w:r w:rsidR="00C82FEF" w:rsidRPr="00C82FEF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  <w:r w:rsidR="000B76D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podle ustanovení § 9 odst. 2 písm. b) bod 3. Zákona </w:t>
      </w:r>
      <w:r w:rsidR="00C82FEF" w:rsidRPr="00C82FEF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přijímání oznámení od osoby, která pro</w:t>
      </w:r>
      <w:r w:rsidR="00412824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město jako</w:t>
      </w:r>
      <w:r w:rsidR="00C82FEF" w:rsidRPr="00C82FEF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povinný subjekt nevykonává práci nebo jinou obdobnou činnost podle </w:t>
      </w:r>
      <w:r w:rsidR="000B76D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ustanovení </w:t>
      </w:r>
      <w:r w:rsidR="00C82FEF" w:rsidRPr="00C82FEF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§ 2 odst. 3 písm. a), b), h) nebo i)</w:t>
      </w:r>
      <w:r w:rsidR="000B76D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Zákona.</w:t>
      </w:r>
      <w:r w:rsidR="00C82FEF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</w:p>
    <w:p w14:paraId="1CF7822A" w14:textId="77777777" w:rsidR="00C35522" w:rsidRPr="00C35522" w:rsidRDefault="00C35522" w:rsidP="00C35522">
      <w:pPr>
        <w:shd w:val="clear" w:color="auto" w:fill="FFFFFF"/>
        <w:spacing w:before="300" w:after="150" w:line="311" w:lineRule="atLeast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  <w:r w:rsidRPr="00C35522">
        <w:rPr>
          <w:rFonts w:eastAsia="Times New Roman"/>
          <w:b/>
          <w:bCs/>
          <w:color w:val="434343"/>
          <w:kern w:val="0"/>
          <w:sz w:val="26"/>
          <w:szCs w:val="26"/>
          <w:lang w:eastAsia="cs-CZ"/>
          <w14:ligatures w14:val="none"/>
        </w:rPr>
        <w:t>Jak se oznamuje</w:t>
      </w:r>
    </w:p>
    <w:p w14:paraId="5E494BEA" w14:textId="3E213223" w:rsidR="00C35522" w:rsidRPr="00C35522" w:rsidRDefault="00C35522" w:rsidP="00C35522">
      <w:pPr>
        <w:shd w:val="clear" w:color="auto" w:fill="FFFFFF"/>
        <w:spacing w:before="120" w:after="480" w:line="240" w:lineRule="auto"/>
        <w:jc w:val="both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Zvláštním, nezávislým a samostatným</w:t>
      </w:r>
      <w:r w:rsidR="00A44E83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interním</w:t>
      </w:r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komunikačním kanálem zajišťujícím důvěrnost poskytnutých informací, ochranu oznamovatele a jeho osobních údajů. Je možné podat oznámení pouze ve výše uvedených oblastech. S oznámeními mimo zmíněné oblasti je nutné se obrátit na jiné kompetentní orgány veřejné moci nebo na soud.</w:t>
      </w:r>
    </w:p>
    <w:p w14:paraId="25B8A8E3" w14:textId="77777777" w:rsidR="002E56EA" w:rsidRDefault="00C35522" w:rsidP="002E56E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 </w:t>
      </w:r>
      <w:r w:rsidRPr="00C35522">
        <w:rPr>
          <w:rFonts w:eastAsia="Times New Roman"/>
          <w:b/>
          <w:bCs/>
          <w:color w:val="434343"/>
          <w:kern w:val="0"/>
          <w:sz w:val="26"/>
          <w:szCs w:val="26"/>
          <w:lang w:eastAsia="cs-CZ"/>
          <w14:ligatures w14:val="none"/>
        </w:rPr>
        <w:t>Obsah oznámení</w:t>
      </w:r>
    </w:p>
    <w:p w14:paraId="6C430658" w14:textId="77777777" w:rsidR="002E56EA" w:rsidRDefault="002E56EA" w:rsidP="002E56E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</w:p>
    <w:p w14:paraId="32E2C87E" w14:textId="6C90B708" w:rsidR="00C35522" w:rsidRPr="00C35522" w:rsidRDefault="00C35522" w:rsidP="002E56E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podrobné vylíčení protiprávního jednání (předmět oznámení, kde se o něm oznamovatel dozvěděl, důkazy a </w:t>
      </w:r>
      <w:r w:rsidR="002E56EA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písemné</w:t>
      </w:r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materiály atd.)</w:t>
      </w:r>
    </w:p>
    <w:p w14:paraId="3D7E7A25" w14:textId="77777777" w:rsidR="00C35522" w:rsidRPr="00C35522" w:rsidRDefault="00C35522" w:rsidP="00C35522">
      <w:pPr>
        <w:shd w:val="clear" w:color="auto" w:fill="FFFFFF"/>
        <w:spacing w:before="300" w:after="150" w:line="311" w:lineRule="atLeast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  <w:r w:rsidRPr="00C35522">
        <w:rPr>
          <w:rFonts w:eastAsia="Times New Roman"/>
          <w:b/>
          <w:bCs/>
          <w:color w:val="434343"/>
          <w:kern w:val="0"/>
          <w:sz w:val="26"/>
          <w:szCs w:val="26"/>
          <w:lang w:eastAsia="cs-CZ"/>
          <w14:ligatures w14:val="none"/>
        </w:rPr>
        <w:t>Příjem oznámení</w:t>
      </w:r>
    </w:p>
    <w:p w14:paraId="3820C525" w14:textId="4F53A214" w:rsidR="00C35522" w:rsidRPr="00C35522" w:rsidRDefault="00C35522" w:rsidP="00C35522">
      <w:pPr>
        <w:shd w:val="clear" w:color="auto" w:fill="FFFFFF"/>
        <w:spacing w:before="300" w:after="150" w:line="253" w:lineRule="atLeast"/>
        <w:textAlignment w:val="baseline"/>
        <w:rPr>
          <w:rFonts w:eastAsia="Times New Roman"/>
          <w:color w:val="434343"/>
          <w:kern w:val="0"/>
          <w:lang w:eastAsia="cs-CZ"/>
          <w14:ligatures w14:val="none"/>
        </w:rPr>
      </w:pPr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Povinný subjekt </w:t>
      </w:r>
      <w:proofErr w:type="gramStart"/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–  přijímá</w:t>
      </w:r>
      <w:proofErr w:type="gramEnd"/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oznámení:</w:t>
      </w:r>
    </w:p>
    <w:p w14:paraId="268C50AF" w14:textId="42D9084A" w:rsidR="002E56EA" w:rsidRPr="002E56EA" w:rsidRDefault="00C35522" w:rsidP="002E56EA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2E56EA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>písemně</w:t>
      </w:r>
      <w:r w:rsidRPr="002E56EA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 – elektronicky i v listinné podobě</w:t>
      </w:r>
    </w:p>
    <w:p w14:paraId="666F222D" w14:textId="39F9E0F8" w:rsidR="00C35522" w:rsidRPr="002E56EA" w:rsidRDefault="00C35522" w:rsidP="002E56EA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2E56EA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>ústně</w:t>
      </w:r>
      <w:r w:rsidRPr="002E56EA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 – telefonicky</w:t>
      </w:r>
      <w:r w:rsidR="002E56EA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příslušné osobě</w:t>
      </w:r>
      <w:r w:rsidRPr="002E56EA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i osobně (po domluvě termínu).</w:t>
      </w:r>
    </w:p>
    <w:p w14:paraId="69ACDD3C" w14:textId="77777777" w:rsidR="002E56EA" w:rsidRPr="002E56EA" w:rsidRDefault="002E56EA" w:rsidP="002E56EA">
      <w:pPr>
        <w:pStyle w:val="Odstavecseseznamem"/>
        <w:shd w:val="clear" w:color="auto" w:fill="FFFFFF"/>
        <w:spacing w:after="0" w:line="240" w:lineRule="auto"/>
        <w:ind w:left="1695"/>
        <w:jc w:val="both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</w:p>
    <w:p w14:paraId="325D4D97" w14:textId="77777777" w:rsidR="00AC1847" w:rsidRDefault="00C35522" w:rsidP="00AC184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Je-li oznámení učiněno ústně nebo telefonicky je příslušná osoba povinna pořídit zvukovou nahrávku oznámení nebo jeho přepis. Nevysloví-li oznamovatel s pořízením nahrávky souhlas, nesmí ji příslušná osoba pořídit.</w:t>
      </w:r>
    </w:p>
    <w:p w14:paraId="300120FD" w14:textId="77777777" w:rsidR="00AC1847" w:rsidRDefault="00AC1847" w:rsidP="00AC184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</w:p>
    <w:p w14:paraId="3F8CA440" w14:textId="77777777" w:rsidR="00012C68" w:rsidRPr="00012C68" w:rsidRDefault="00C35522" w:rsidP="00012C6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Oznámení v listinné podobě</w:t>
      </w:r>
      <w:r w:rsidR="00AC1847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doručené</w:t>
      </w:r>
      <w:r w:rsidR="006A48B6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poštou</w:t>
      </w:r>
      <w:r w:rsidR="00AC1847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na adresu</w:t>
      </w:r>
      <w:r w:rsidR="008B3D43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příslušné osoby uvedenou níže nebo na adresu</w:t>
      </w:r>
      <w:r w:rsidR="00AC1847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  <w:r w:rsidR="00012C68" w:rsidRPr="00012C68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Základní škola, Praktická škola a Mateřská škola, Česká Lípa, Moskevská 679, příspěvková organizace</w:t>
      </w:r>
    </w:p>
    <w:p w14:paraId="34038BBF" w14:textId="009891A5" w:rsidR="00C35522" w:rsidRDefault="00012C68" w:rsidP="00012C6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012C68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Moskevská 679</w:t>
      </w:r>
      <w:r w:rsidR="008B3D43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. V případě podání na adresu</w:t>
      </w:r>
      <w:r w:rsidR="006F43B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školy</w:t>
      </w:r>
      <w:r w:rsidR="00C35522"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je nutné na obálce označit „</w:t>
      </w:r>
      <w:proofErr w:type="gramStart"/>
      <w:r w:rsidR="00C35522" w:rsidRPr="00C35522">
        <w:rPr>
          <w:rFonts w:eastAsia="Times New Roman"/>
          <w:caps/>
          <w:color w:val="434343"/>
          <w:kern w:val="0"/>
          <w:sz w:val="20"/>
          <w:szCs w:val="20"/>
          <w:lang w:eastAsia="cs-CZ"/>
          <w14:ligatures w14:val="none"/>
        </w:rPr>
        <w:t>Whistleblowing</w:t>
      </w:r>
      <w:r w:rsidR="00C35522"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- NEOTEVÍRAT</w:t>
      </w:r>
      <w:proofErr w:type="gramEnd"/>
      <w:r w:rsidR="00C35522"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“. Tato oznámení jsou přijímána a </w:t>
      </w:r>
      <w:proofErr w:type="gramStart"/>
      <w:r w:rsidR="00C35522"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vyřizována </w:t>
      </w:r>
      <w:r w:rsidR="00AC1847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výhradně</w:t>
      </w:r>
      <w:proofErr w:type="gramEnd"/>
      <w:r w:rsidR="00AC1847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  <w:r w:rsidR="00C35522"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určenou příslušnou osobou mimo běžnou komunikaci a je chráněna identita oznamovatele</w:t>
      </w:r>
      <w:r w:rsidR="006A48B6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na adrese:</w:t>
      </w:r>
    </w:p>
    <w:p w14:paraId="77DD2B24" w14:textId="77777777" w:rsidR="00AC1847" w:rsidRDefault="00AC1847" w:rsidP="00AC184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</w:p>
    <w:p w14:paraId="630FE5CA" w14:textId="77777777" w:rsidR="00AC1847" w:rsidRDefault="00AC1847" w:rsidP="00AC184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AC1847">
        <w:rPr>
          <w:rFonts w:eastAsia="Times New Roman"/>
          <w:caps/>
          <w:color w:val="434343"/>
          <w:kern w:val="0"/>
          <w:sz w:val="20"/>
          <w:szCs w:val="20"/>
          <w:lang w:eastAsia="cs-CZ"/>
          <w14:ligatures w14:val="none"/>
        </w:rPr>
        <w:t>Whistleblowing</w:t>
      </w:r>
      <w:r w:rsidRPr="00AC1847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– NEOTEVÍRAT</w:t>
      </w:r>
    </w:p>
    <w:p w14:paraId="657698FC" w14:textId="77777777" w:rsidR="00012C68" w:rsidRPr="00012C68" w:rsidRDefault="00012C68" w:rsidP="00012C68">
      <w:pPr>
        <w:widowControl w:val="0"/>
        <w:autoSpaceDE w:val="0"/>
        <w:autoSpaceDN w:val="0"/>
        <w:spacing w:after="0" w:line="240" w:lineRule="auto"/>
        <w:rPr>
          <w:rFonts w:eastAsia="Trebuchet MS"/>
          <w:kern w:val="0"/>
          <w:sz w:val="20"/>
          <w:szCs w:val="20"/>
          <w14:ligatures w14:val="none"/>
        </w:rPr>
      </w:pPr>
      <w:bookmarkStart w:id="0" w:name="_Hlk141693217"/>
      <w:r w:rsidRPr="00012C68">
        <w:rPr>
          <w:rFonts w:eastAsia="Trebuchet MS"/>
          <w:kern w:val="0"/>
          <w:sz w:val="20"/>
          <w:szCs w:val="20"/>
          <w14:ligatures w14:val="none"/>
        </w:rPr>
        <w:t>Základní škola, Praktická škola a Mateřská škola, Česká Lípa, Moskevská 679, příspěvková organizace</w:t>
      </w:r>
    </w:p>
    <w:p w14:paraId="0AC53E2E" w14:textId="4BEF18DE" w:rsidR="00012C68" w:rsidRDefault="00012C68" w:rsidP="00012C68">
      <w:pPr>
        <w:widowControl w:val="0"/>
        <w:autoSpaceDE w:val="0"/>
        <w:autoSpaceDN w:val="0"/>
        <w:spacing w:after="0" w:line="240" w:lineRule="auto"/>
        <w:rPr>
          <w:rFonts w:eastAsia="Trebuchet MS"/>
          <w:kern w:val="0"/>
          <w:sz w:val="20"/>
          <w:szCs w:val="20"/>
          <w14:ligatures w14:val="none"/>
        </w:rPr>
      </w:pPr>
      <w:r w:rsidRPr="00012C68">
        <w:rPr>
          <w:rFonts w:eastAsia="Trebuchet MS"/>
          <w:kern w:val="0"/>
          <w:sz w:val="20"/>
          <w:szCs w:val="20"/>
          <w14:ligatures w14:val="none"/>
        </w:rPr>
        <w:t xml:space="preserve">Moskevská 679 </w:t>
      </w:r>
    </w:p>
    <w:bookmarkEnd w:id="0"/>
    <w:p w14:paraId="11D7EF64" w14:textId="63E607C7" w:rsidR="00012C68" w:rsidRPr="00012C68" w:rsidRDefault="00012C68" w:rsidP="00012C68">
      <w:pPr>
        <w:widowControl w:val="0"/>
        <w:autoSpaceDE w:val="0"/>
        <w:autoSpaceDN w:val="0"/>
        <w:spacing w:after="0" w:line="240" w:lineRule="auto"/>
        <w:rPr>
          <w:rFonts w:eastAsia="Trebuchet MS"/>
          <w:kern w:val="0"/>
          <w:sz w:val="20"/>
          <w:szCs w:val="20"/>
          <w14:ligatures w14:val="none"/>
        </w:rPr>
      </w:pPr>
      <w:r w:rsidRPr="00012C68">
        <w:rPr>
          <w:rFonts w:eastAsia="Trebuchet MS"/>
          <w:kern w:val="0"/>
          <w:sz w:val="20"/>
          <w:szCs w:val="20"/>
          <w14:ligatures w14:val="none"/>
        </w:rPr>
        <w:t>470 01, Česká Lípa</w:t>
      </w:r>
    </w:p>
    <w:p w14:paraId="0DDABCC2" w14:textId="77777777" w:rsidR="005E5E95" w:rsidRPr="00AC1847" w:rsidRDefault="005E5E95" w:rsidP="00AC184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</w:p>
    <w:p w14:paraId="4DA3BA8F" w14:textId="72C3CE2E" w:rsidR="00344F4D" w:rsidRDefault="00414725" w:rsidP="00C35522">
      <w:pPr>
        <w:shd w:val="clear" w:color="auto" w:fill="FFFFFF"/>
        <w:spacing w:before="300" w:after="150" w:line="253" w:lineRule="atLeast"/>
        <w:textAlignment w:val="baseline"/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</w:pPr>
      <w:r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>Š</w:t>
      </w:r>
      <w:r w:rsidR="002A07A3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>kola</w:t>
      </w:r>
      <w:r w:rsidR="00AC1847" w:rsidRPr="006A48B6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 xml:space="preserve"> jmenoval</w:t>
      </w:r>
      <w:r w:rsidR="002A07A3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>a</w:t>
      </w:r>
      <w:r w:rsidR="00AC1847" w:rsidRPr="006A48B6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 xml:space="preserve"> příslušnou </w:t>
      </w:r>
      <w:proofErr w:type="gramStart"/>
      <w:r w:rsidR="00AC1847" w:rsidRPr="006A48B6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>osobou :</w:t>
      </w:r>
      <w:proofErr w:type="gramEnd"/>
      <w:r w:rsidR="00AC1847" w:rsidRPr="006A48B6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  <w:r w:rsidR="006A48B6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</w:p>
    <w:p w14:paraId="62A1FB34" w14:textId="77777777" w:rsidR="00344F4D" w:rsidRDefault="00C35522" w:rsidP="00344F4D">
      <w:pPr>
        <w:shd w:val="clear" w:color="auto" w:fill="FFFFFF"/>
        <w:spacing w:after="0" w:line="253" w:lineRule="atLeast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JUDr. Stanislav</w:t>
      </w:r>
      <w:r w:rsidR="00AC1847" w:rsidRPr="006A48B6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a</w:t>
      </w:r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Cenk</w:t>
      </w:r>
      <w:r w:rsidR="00AC1847" w:rsidRPr="006A48B6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a</w:t>
      </w:r>
      <w:r w:rsidR="008B3D43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E78AC54" w14:textId="77777777" w:rsidR="00344F4D" w:rsidRDefault="008B3D43" w:rsidP="00344F4D">
      <w:pPr>
        <w:shd w:val="clear" w:color="auto" w:fill="FFFFFF"/>
        <w:spacing w:after="0" w:line="253" w:lineRule="atLeast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Volfartice čp. 85 </w:t>
      </w:r>
    </w:p>
    <w:p w14:paraId="0714DC5B" w14:textId="514EFE25" w:rsidR="00C35522" w:rsidRPr="00C35522" w:rsidRDefault="008B3D43" w:rsidP="00344F4D">
      <w:pPr>
        <w:shd w:val="clear" w:color="auto" w:fill="FFFFFF"/>
        <w:spacing w:after="0" w:line="253" w:lineRule="atLeast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47112 Volfartice</w:t>
      </w:r>
    </w:p>
    <w:p w14:paraId="3B7B28C5" w14:textId="74F87423" w:rsidR="00C35522" w:rsidRPr="00C35522" w:rsidRDefault="006A48B6" w:rsidP="006A48B6">
      <w:pPr>
        <w:shd w:val="clear" w:color="auto" w:fill="FFFFFF"/>
        <w:spacing w:before="300" w:after="150" w:line="253" w:lineRule="atLeast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6A48B6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>Oznámení lze podat t</w:t>
      </w:r>
      <w:r w:rsidR="00C35522" w:rsidRPr="00C35522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>elefonicky</w:t>
      </w:r>
      <w:r w:rsidRPr="006A48B6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 xml:space="preserve"> příslušné osobě</w:t>
      </w:r>
      <w:r w:rsidR="00C35522" w:rsidRPr="00C35522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>:</w:t>
      </w:r>
      <w:r w:rsidRPr="006A48B6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  <w:r w:rsidR="00C35522"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+420 602 438 259</w:t>
      </w:r>
    </w:p>
    <w:p w14:paraId="7C082A50" w14:textId="51E06B48" w:rsidR="006A48B6" w:rsidRDefault="00C35522" w:rsidP="006A48B6">
      <w:pPr>
        <w:shd w:val="clear" w:color="auto" w:fill="FFFFFF"/>
        <w:spacing w:before="300" w:after="150" w:line="253" w:lineRule="atLeast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  <w:r w:rsidRPr="00C35522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lastRenderedPageBreak/>
        <w:t>Elektronicky</w:t>
      </w:r>
      <w:r w:rsidR="006A48B6" w:rsidRPr="006A48B6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 xml:space="preserve"> e-</w:t>
      </w:r>
      <w:proofErr w:type="gramStart"/>
      <w:r w:rsidR="006A48B6" w:rsidRPr="006A48B6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 xml:space="preserve">mailem </w:t>
      </w:r>
      <w:r w:rsidRPr="00C35522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>:</w:t>
      </w:r>
      <w:proofErr w:type="gramEnd"/>
      <w:r w:rsidR="006A48B6" w:rsidRPr="006A48B6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  <w:hyperlink r:id="rId8" w:history="1">
        <w:r w:rsidR="006A48B6" w:rsidRPr="006A48B6">
          <w:rPr>
            <w:rStyle w:val="Hypertextovodkaz"/>
            <w:rFonts w:eastAsia="Times New Roman"/>
            <w:kern w:val="0"/>
            <w:sz w:val="20"/>
            <w:szCs w:val="20"/>
            <w:lang w:eastAsia="cs-CZ"/>
            <w14:ligatures w14:val="none"/>
          </w:rPr>
          <w:t>whistleblowing.cenek@outlook.cz</w:t>
        </w:r>
      </w:hyperlink>
      <w:r w:rsidR="006A48B6"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69AE227" w14:textId="1BBA6134" w:rsidR="00C35522" w:rsidRPr="00B35D98" w:rsidRDefault="006A48B6" w:rsidP="00C35522">
      <w:pPr>
        <w:shd w:val="clear" w:color="auto" w:fill="FFFFFF"/>
        <w:spacing w:before="300" w:after="150" w:line="253" w:lineRule="atLeast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6A48B6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 xml:space="preserve">Datovou schránkou příslušné </w:t>
      </w:r>
      <w:proofErr w:type="gramStart"/>
      <w:r w:rsidRPr="006A48B6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>osob</w:t>
      </w:r>
      <w:r w:rsidR="00C66253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>y</w:t>
      </w:r>
      <w:r w:rsidRPr="006A48B6"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>:</w:t>
      </w:r>
      <w:proofErr w:type="gramEnd"/>
      <w:r>
        <w:rPr>
          <w:rFonts w:eastAsia="Times New Roman"/>
          <w:b/>
          <w:bCs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  <w:r w:rsidR="007908A2" w:rsidRPr="007908A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6bzc36x</w:t>
      </w:r>
    </w:p>
    <w:p w14:paraId="1EE2B0CF" w14:textId="77777777" w:rsidR="00C35522" w:rsidRPr="00C35522" w:rsidRDefault="00C35522" w:rsidP="00C35522">
      <w:pPr>
        <w:shd w:val="clear" w:color="auto" w:fill="FFFFFF"/>
        <w:spacing w:before="300" w:after="150" w:line="311" w:lineRule="atLeast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  <w:r w:rsidRPr="00C35522">
        <w:rPr>
          <w:rFonts w:eastAsia="Times New Roman"/>
          <w:b/>
          <w:bCs/>
          <w:color w:val="434343"/>
          <w:kern w:val="0"/>
          <w:sz w:val="26"/>
          <w:szCs w:val="26"/>
          <w:lang w:eastAsia="cs-CZ"/>
          <w14:ligatures w14:val="none"/>
        </w:rPr>
        <w:t>Lhůty</w:t>
      </w:r>
    </w:p>
    <w:p w14:paraId="79A5C957" w14:textId="573A8FDA" w:rsidR="00C35522" w:rsidRPr="00C35522" w:rsidRDefault="00C35522" w:rsidP="00C35522">
      <w:pPr>
        <w:shd w:val="clear" w:color="auto" w:fill="FFFFFF"/>
        <w:spacing w:before="120" w:after="480" w:line="240" w:lineRule="auto"/>
        <w:jc w:val="both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Příslušná osoba má povinnost oznamovatele vyrozumět do 7 dnů o přijetí oznámení a do 3</w:t>
      </w:r>
      <w:r w:rsidR="007908A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0 dnů</w:t>
      </w:r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o způsobu jeho vyřízení na elektronickou nebo poštovní adresu, kterou oznamovatel uvedl, pokud se tohoto práva předem nevzdal.</w:t>
      </w:r>
      <w:r w:rsidR="007908A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V případě potřeby lze lhůtu k vyřízení oznámení prodloužit o dalších 30 dnů </w:t>
      </w:r>
      <w:r w:rsidR="007908A2" w:rsidRPr="007908A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nejvýše však dvakrát. O prodloužení lhůty a důvodech pro její prodloužení je příslušná osoba povinna oznamovatele písemně vyrozumět před jejím uplynutím.</w:t>
      </w:r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Vyrozumění nebude odesláno v případě anonymního podání a pokud by jeho odesláním mohlo dojít k ohrožení zájmu na ochraně totožnosti oznamovatele a jeho osobních údajů, případně třetí osoby.</w:t>
      </w:r>
    </w:p>
    <w:p w14:paraId="682A0E22" w14:textId="77777777" w:rsidR="00C35522" w:rsidRPr="00C35522" w:rsidRDefault="00C35522" w:rsidP="00C35522">
      <w:pPr>
        <w:shd w:val="clear" w:color="auto" w:fill="FFFFFF"/>
        <w:spacing w:before="300" w:after="150" w:line="311" w:lineRule="atLeast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  <w:r w:rsidRPr="00C35522">
        <w:rPr>
          <w:rFonts w:eastAsia="Times New Roman"/>
          <w:b/>
          <w:bCs/>
          <w:color w:val="434343"/>
          <w:kern w:val="0"/>
          <w:sz w:val="26"/>
          <w:szCs w:val="26"/>
          <w:lang w:eastAsia="cs-CZ"/>
          <w14:ligatures w14:val="none"/>
        </w:rPr>
        <w:t>GDPR</w:t>
      </w:r>
    </w:p>
    <w:p w14:paraId="306D0E30" w14:textId="77777777" w:rsidR="00C35522" w:rsidRPr="00C35522" w:rsidRDefault="00C35522" w:rsidP="00C35522">
      <w:pPr>
        <w:shd w:val="clear" w:color="auto" w:fill="FFFFFF"/>
        <w:spacing w:before="120" w:after="480" w:line="240" w:lineRule="auto"/>
        <w:jc w:val="both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Osobní údaje oznamovatele jsou zpracovávány pro účely řešení oznámení v souladu a nařízením Evropského parlamentu a Rady (EU) č. 2016/679, o ochraně fyzických osob v souvislosti se zpracováním osobních údajů a o volném pohybu těchto údajů a o zrušení směrnice 95/46/ES, a souvisejících předpisů.</w:t>
      </w:r>
    </w:p>
    <w:p w14:paraId="62C60720" w14:textId="77777777" w:rsidR="00C35522" w:rsidRPr="00C35522" w:rsidRDefault="00C35522" w:rsidP="00C35522">
      <w:pPr>
        <w:shd w:val="clear" w:color="auto" w:fill="FFFFFF"/>
        <w:spacing w:before="300" w:after="150" w:line="311" w:lineRule="atLeast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  <w:r w:rsidRPr="00C35522">
        <w:rPr>
          <w:rFonts w:eastAsia="Times New Roman"/>
          <w:b/>
          <w:bCs/>
          <w:color w:val="434343"/>
          <w:kern w:val="0"/>
          <w:sz w:val="26"/>
          <w:szCs w:val="26"/>
          <w:lang w:eastAsia="cs-CZ"/>
          <w14:ligatures w14:val="none"/>
        </w:rPr>
        <w:t>Poučení</w:t>
      </w:r>
    </w:p>
    <w:p w14:paraId="620C3F99" w14:textId="494A8F9F" w:rsidR="00C35522" w:rsidRDefault="00C35522" w:rsidP="00C35522">
      <w:pPr>
        <w:shd w:val="clear" w:color="auto" w:fill="FFFFFF"/>
        <w:spacing w:before="120" w:after="480" w:line="240" w:lineRule="auto"/>
        <w:jc w:val="both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C35522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V případě podání vědomě nepravdivého oznámení se může oznamovatel dopustit přestupku nebo trestného činu.</w:t>
      </w:r>
      <w:r w:rsidR="009A17E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Oznamovatel je </w:t>
      </w:r>
      <w:proofErr w:type="gramStart"/>
      <w:r w:rsidR="009A17E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oprávněn  se</w:t>
      </w:r>
      <w:proofErr w:type="gramEnd"/>
      <w:r w:rsidR="009A17E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se svým oznámení obrátit rovněž na Ministerstvo spravedlnosti k prověření oznámení</w:t>
      </w:r>
      <w:r w:rsidR="00C66253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zde: </w:t>
      </w:r>
      <w:r w:rsidR="009A17EC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  <w:hyperlink r:id="rId9" w:history="1">
        <w:r w:rsidR="00C66253" w:rsidRPr="00B52316">
          <w:rPr>
            <w:rStyle w:val="Hypertextovodkaz"/>
            <w:rFonts w:eastAsia="Times New Roman"/>
            <w:kern w:val="0"/>
            <w:sz w:val="20"/>
            <w:szCs w:val="20"/>
            <w:lang w:eastAsia="cs-CZ"/>
            <w14:ligatures w14:val="none"/>
          </w:rPr>
          <w:t>https://oznamovatel.justice.cz/chci-podat-oznameni/</w:t>
        </w:r>
      </w:hyperlink>
      <w:r w:rsidR="00C66253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</w:t>
      </w:r>
    </w:p>
    <w:p w14:paraId="3B38469A" w14:textId="2F294E7F" w:rsidR="00FD70B0" w:rsidRPr="00FD70B0" w:rsidRDefault="00D6086E" w:rsidP="00FD70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</w:pPr>
      <w:r w:rsidRPr="00FD70B0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     </w:t>
      </w:r>
      <w:r w:rsidR="00414725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M</w:t>
      </w:r>
      <w:r w:rsidR="00B06908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g</w:t>
      </w:r>
      <w:r w:rsidR="00414725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>r. Kateřina Holá</w:t>
      </w:r>
    </w:p>
    <w:p w14:paraId="189584E4" w14:textId="00EE4043" w:rsidR="009A17EC" w:rsidRPr="00C35522" w:rsidRDefault="00FD70B0" w:rsidP="00FD70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434343"/>
          <w:kern w:val="0"/>
          <w:sz w:val="24"/>
          <w:szCs w:val="24"/>
          <w:lang w:eastAsia="cs-CZ"/>
          <w14:ligatures w14:val="none"/>
        </w:rPr>
      </w:pPr>
      <w:r w:rsidRPr="00FD70B0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         </w:t>
      </w:r>
      <w:r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 </w:t>
      </w:r>
      <w:r w:rsidRPr="00FD70B0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ředitelka</w:t>
      </w:r>
      <w:r w:rsidR="00D6086E" w:rsidRPr="00FD70B0">
        <w:rPr>
          <w:rFonts w:eastAsia="Times New Roman"/>
          <w:color w:val="434343"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</w:t>
      </w:r>
    </w:p>
    <w:p w14:paraId="3FDE36C8" w14:textId="77777777" w:rsidR="00C32DDB" w:rsidRPr="005A7237" w:rsidRDefault="00C32DDB"/>
    <w:sectPr w:rsidR="00C32DDB" w:rsidRPr="005A7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86E6" w14:textId="77777777" w:rsidR="000E6CFF" w:rsidRDefault="000E6CFF" w:rsidP="00A44E83">
      <w:pPr>
        <w:spacing w:after="0" w:line="240" w:lineRule="auto"/>
      </w:pPr>
      <w:r>
        <w:separator/>
      </w:r>
    </w:p>
  </w:endnote>
  <w:endnote w:type="continuationSeparator" w:id="0">
    <w:p w14:paraId="4B8D32D6" w14:textId="77777777" w:rsidR="000E6CFF" w:rsidRDefault="000E6CFF" w:rsidP="00A4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30C4" w14:textId="77777777" w:rsidR="000E6CFF" w:rsidRDefault="000E6CFF" w:rsidP="00A44E83">
      <w:pPr>
        <w:spacing w:after="0" w:line="240" w:lineRule="auto"/>
      </w:pPr>
      <w:r>
        <w:separator/>
      </w:r>
    </w:p>
  </w:footnote>
  <w:footnote w:type="continuationSeparator" w:id="0">
    <w:p w14:paraId="71EAC1A7" w14:textId="77777777" w:rsidR="000E6CFF" w:rsidRDefault="000E6CFF" w:rsidP="00A44E83">
      <w:pPr>
        <w:spacing w:after="0" w:line="240" w:lineRule="auto"/>
      </w:pPr>
      <w:r>
        <w:continuationSeparator/>
      </w:r>
    </w:p>
  </w:footnote>
  <w:footnote w:id="1">
    <w:p w14:paraId="0C5AA049" w14:textId="2602558B" w:rsidR="00A44E83" w:rsidRDefault="00A44E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4E83">
        <w:t>Článek 325 Smlouvy o fungování Evropské unie.</w:t>
      </w:r>
    </w:p>
  </w:footnote>
  <w:footnote w:id="2">
    <w:p w14:paraId="0AAC42B3" w14:textId="616C32A5" w:rsidR="00A44E83" w:rsidRDefault="00A44E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4E83">
        <w:t>Článek 26 odst. 1 a 2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5DC"/>
    <w:multiLevelType w:val="hybridMultilevel"/>
    <w:tmpl w:val="CE6EF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257A7"/>
    <w:multiLevelType w:val="hybridMultilevel"/>
    <w:tmpl w:val="FA2AB2B2"/>
    <w:lvl w:ilvl="0" w:tplc="04050017">
      <w:start w:val="1"/>
      <w:numFmt w:val="lowerLetter"/>
      <w:lvlText w:val="%1)"/>
      <w:lvlJc w:val="left"/>
      <w:pPr>
        <w:ind w:left="1473" w:hanging="360"/>
      </w:pPr>
    </w:lvl>
    <w:lvl w:ilvl="1" w:tplc="04050019" w:tentative="1">
      <w:start w:val="1"/>
      <w:numFmt w:val="lowerLetter"/>
      <w:lvlText w:val="%2."/>
      <w:lvlJc w:val="left"/>
      <w:pPr>
        <w:ind w:left="2193" w:hanging="360"/>
      </w:pPr>
    </w:lvl>
    <w:lvl w:ilvl="2" w:tplc="0405001B" w:tentative="1">
      <w:start w:val="1"/>
      <w:numFmt w:val="lowerRoman"/>
      <w:lvlText w:val="%3."/>
      <w:lvlJc w:val="right"/>
      <w:pPr>
        <w:ind w:left="2913" w:hanging="180"/>
      </w:pPr>
    </w:lvl>
    <w:lvl w:ilvl="3" w:tplc="0405000F" w:tentative="1">
      <w:start w:val="1"/>
      <w:numFmt w:val="decimal"/>
      <w:lvlText w:val="%4."/>
      <w:lvlJc w:val="left"/>
      <w:pPr>
        <w:ind w:left="3633" w:hanging="360"/>
      </w:pPr>
    </w:lvl>
    <w:lvl w:ilvl="4" w:tplc="04050019" w:tentative="1">
      <w:start w:val="1"/>
      <w:numFmt w:val="lowerLetter"/>
      <w:lvlText w:val="%5."/>
      <w:lvlJc w:val="left"/>
      <w:pPr>
        <w:ind w:left="4353" w:hanging="360"/>
      </w:pPr>
    </w:lvl>
    <w:lvl w:ilvl="5" w:tplc="0405001B" w:tentative="1">
      <w:start w:val="1"/>
      <w:numFmt w:val="lowerRoman"/>
      <w:lvlText w:val="%6."/>
      <w:lvlJc w:val="right"/>
      <w:pPr>
        <w:ind w:left="5073" w:hanging="180"/>
      </w:pPr>
    </w:lvl>
    <w:lvl w:ilvl="6" w:tplc="0405000F" w:tentative="1">
      <w:start w:val="1"/>
      <w:numFmt w:val="decimal"/>
      <w:lvlText w:val="%7."/>
      <w:lvlJc w:val="left"/>
      <w:pPr>
        <w:ind w:left="5793" w:hanging="360"/>
      </w:pPr>
    </w:lvl>
    <w:lvl w:ilvl="7" w:tplc="04050019" w:tentative="1">
      <w:start w:val="1"/>
      <w:numFmt w:val="lowerLetter"/>
      <w:lvlText w:val="%8."/>
      <w:lvlJc w:val="left"/>
      <w:pPr>
        <w:ind w:left="6513" w:hanging="360"/>
      </w:pPr>
    </w:lvl>
    <w:lvl w:ilvl="8" w:tplc="040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" w15:restartNumberingAfterBreak="0">
    <w:nsid w:val="727E2CD2"/>
    <w:multiLevelType w:val="hybridMultilevel"/>
    <w:tmpl w:val="EC7A8D64"/>
    <w:lvl w:ilvl="0" w:tplc="97365874">
      <w:start w:val="1"/>
      <w:numFmt w:val="lowerLetter"/>
      <w:lvlText w:val="%1)"/>
      <w:lvlJc w:val="left"/>
      <w:pPr>
        <w:ind w:left="169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882D14"/>
    <w:multiLevelType w:val="multilevel"/>
    <w:tmpl w:val="06E8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545079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89060483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76534213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7737888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78889132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6140304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53851804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21335194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96600575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48419646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264530391">
    <w:abstractNumId w:val="0"/>
  </w:num>
  <w:num w:numId="12" w16cid:durableId="509368854">
    <w:abstractNumId w:val="1"/>
  </w:num>
  <w:num w:numId="13" w16cid:durableId="162743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22"/>
    <w:rsid w:val="00012C68"/>
    <w:rsid w:val="00075C85"/>
    <w:rsid w:val="000B76DC"/>
    <w:rsid w:val="000E6CFF"/>
    <w:rsid w:val="00175052"/>
    <w:rsid w:val="002A07A3"/>
    <w:rsid w:val="002E56EA"/>
    <w:rsid w:val="00344F4D"/>
    <w:rsid w:val="00412824"/>
    <w:rsid w:val="00414725"/>
    <w:rsid w:val="0051038E"/>
    <w:rsid w:val="005A7237"/>
    <w:rsid w:val="005E5E95"/>
    <w:rsid w:val="00630E45"/>
    <w:rsid w:val="006A48B6"/>
    <w:rsid w:val="006F43B2"/>
    <w:rsid w:val="00726AF0"/>
    <w:rsid w:val="007908A2"/>
    <w:rsid w:val="008B3D43"/>
    <w:rsid w:val="009A17EC"/>
    <w:rsid w:val="009C09A1"/>
    <w:rsid w:val="00A44E83"/>
    <w:rsid w:val="00A529EA"/>
    <w:rsid w:val="00AC1847"/>
    <w:rsid w:val="00B06908"/>
    <w:rsid w:val="00B35D98"/>
    <w:rsid w:val="00B44903"/>
    <w:rsid w:val="00BA666C"/>
    <w:rsid w:val="00BE19AC"/>
    <w:rsid w:val="00C26B7F"/>
    <w:rsid w:val="00C32DDB"/>
    <w:rsid w:val="00C35522"/>
    <w:rsid w:val="00C66253"/>
    <w:rsid w:val="00C82FEF"/>
    <w:rsid w:val="00C84383"/>
    <w:rsid w:val="00D6086E"/>
    <w:rsid w:val="00D76076"/>
    <w:rsid w:val="00DB7593"/>
    <w:rsid w:val="00EF07E2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BA7E"/>
  <w15:chartTrackingRefBased/>
  <w15:docId w15:val="{9D787C23-2D60-4FA1-963F-E52F1FE4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9A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4E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4E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4E8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A48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4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blowing.cenek@outloo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znamovatel.justice.cz/chci-podat-ozname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A400-C0EF-48DD-ACE9-75960E85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923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Cenek</dc:creator>
  <cp:keywords/>
  <dc:description/>
  <cp:lastModifiedBy>Stanislav Cenek</cp:lastModifiedBy>
  <cp:revision>14</cp:revision>
  <dcterms:created xsi:type="dcterms:W3CDTF">2023-07-24T11:49:00Z</dcterms:created>
  <dcterms:modified xsi:type="dcterms:W3CDTF">2023-07-31T08:54:00Z</dcterms:modified>
</cp:coreProperties>
</file>